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W w:w="0" w:type="auto"/>
        <w:jc w:val="center"/>
        <w:tblLayout w:type="fixed"/>
        <w:tblLook w:val="04A0"/>
      </w:tblPr>
      <w:tblGrid>
        <w:gridCol w:w="6237"/>
        <w:gridCol w:w="851"/>
        <w:gridCol w:w="851"/>
        <w:gridCol w:w="6237"/>
      </w:tblGrid>
      <w:tr w:rsidR="00EE4EEA" w:rsidTr="00410FC7">
        <w:trPr>
          <w:trHeight w:val="9072"/>
          <w:jc w:val="center"/>
        </w:trPr>
        <w:tc>
          <w:tcPr>
            <w:tcW w:w="6237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EE4EEA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</w:pPr>
          </w:p>
        </w:tc>
        <w:tc>
          <w:tcPr>
            <w:tcW w:w="851" w:type="dxa"/>
            <w:tcBorders>
              <w:top w:val="nil"/>
              <w:left w:val="doubleWave" w:sz="6" w:space="0" w:color="auto"/>
              <w:bottom w:val="nil"/>
              <w:right w:val="dashed" w:sz="4" w:space="0" w:color="878787"/>
            </w:tcBorders>
          </w:tcPr>
          <w:p w:rsidR="00EE4EEA" w:rsidRDefault="00EE4EEA" w:rsidP="004179A2"/>
        </w:tc>
        <w:tc>
          <w:tcPr>
            <w:tcW w:w="851" w:type="dxa"/>
            <w:tcBorders>
              <w:top w:val="nil"/>
              <w:left w:val="dashed" w:sz="4" w:space="0" w:color="878787"/>
              <w:bottom w:val="nil"/>
              <w:right w:val="doubleWave" w:sz="6" w:space="0" w:color="auto"/>
            </w:tcBorders>
          </w:tcPr>
          <w:p w:rsidR="00EE4EEA" w:rsidRDefault="00EE4EEA" w:rsidP="004179A2">
            <w:pPr>
              <w:spacing w:line="200" w:lineRule="exact"/>
              <w:ind w:left="403"/>
            </w:pPr>
          </w:p>
        </w:tc>
        <w:tc>
          <w:tcPr>
            <w:tcW w:w="6237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vAlign w:val="center"/>
          </w:tcPr>
          <w:p w:rsidR="00410FC7" w:rsidRPr="00410FC7" w:rsidRDefault="00410FC7" w:rsidP="00410FC7">
            <w:pPr>
              <w:spacing w:after="720" w:line="276" w:lineRule="auto"/>
              <w:jc w:val="center"/>
              <w:rPr>
                <w:rFonts w:ascii="Monotype Corsiva" w:hAnsi="Monotype Corsiva" w:cstheme="minorHAnsi"/>
                <w:b/>
                <w:i/>
                <w:smallCaps/>
                <w:shadow/>
                <w:color w:val="365F91" w:themeColor="accent1" w:themeShade="BF"/>
                <w:spacing w:val="60"/>
                <w:sz w:val="72"/>
              </w:rPr>
            </w:pPr>
            <w:r w:rsidRPr="00410FC7">
              <w:rPr>
                <w:rFonts w:ascii="Monotype Corsiva" w:hAnsi="Monotype Corsiva" w:cstheme="minorHAnsi"/>
                <w:b/>
                <w:i/>
                <w:smallCaps/>
                <w:shadow/>
                <w:color w:val="365F91" w:themeColor="accent1" w:themeShade="BF"/>
                <w:spacing w:val="60"/>
                <w:sz w:val="72"/>
              </w:rPr>
              <w:t>Képzelet</w:t>
            </w:r>
            <w:r>
              <w:rPr>
                <w:rFonts w:ascii="Monotype Corsiva" w:hAnsi="Monotype Corsiva" w:cstheme="minorHAnsi"/>
                <w:b/>
                <w:i/>
                <w:smallCaps/>
                <w:shadow/>
                <w:color w:val="365F91" w:themeColor="accent1" w:themeShade="BF"/>
                <w:spacing w:val="60"/>
                <w:sz w:val="72"/>
              </w:rPr>
              <w:t xml:space="preserve"> </w:t>
            </w:r>
            <w:r w:rsidRPr="00410FC7">
              <w:rPr>
                <w:rFonts w:ascii="Monotype Corsiva" w:hAnsi="Monotype Corsiva" w:cstheme="minorHAnsi"/>
                <w:b/>
                <w:i/>
                <w:smallCaps/>
                <w:shadow/>
                <w:color w:val="365F91" w:themeColor="accent1" w:themeShade="BF"/>
                <w:spacing w:val="60"/>
                <w:sz w:val="72"/>
              </w:rPr>
              <w:t>Színház</w:t>
            </w:r>
          </w:p>
          <w:p w:rsidR="00410FC7" w:rsidRPr="00414647" w:rsidRDefault="00410FC7" w:rsidP="00410FC7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2401828" cy="2767590"/>
                  <wp:effectExtent l="19050" t="0" r="0" b="0"/>
                  <wp:docPr id="5" name="Kép 4" descr="szinha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zinhaz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828" cy="2767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4EEA" w:rsidRDefault="00EE4EEA">
      <w:pPr>
        <w:rPr>
          <w:sz w:val="20"/>
        </w:rPr>
      </w:pPr>
      <w:r>
        <w:rPr>
          <w:sz w:val="20"/>
        </w:rPr>
        <w:br w:type="page"/>
      </w:r>
    </w:p>
    <w:tbl>
      <w:tblPr>
        <w:tblStyle w:val="Rcsostblzat"/>
        <w:tblW w:w="0" w:type="auto"/>
        <w:jc w:val="center"/>
        <w:tblLayout w:type="fixed"/>
        <w:tblLook w:val="04A0"/>
      </w:tblPr>
      <w:tblGrid>
        <w:gridCol w:w="6237"/>
        <w:gridCol w:w="851"/>
        <w:gridCol w:w="851"/>
        <w:gridCol w:w="6237"/>
      </w:tblGrid>
      <w:tr w:rsidR="00EE4EEA" w:rsidTr="004179A2">
        <w:trPr>
          <w:trHeight w:val="9072"/>
          <w:jc w:val="center"/>
        </w:trPr>
        <w:tc>
          <w:tcPr>
            <w:tcW w:w="6237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EE4EEA" w:rsidRDefault="00EE4EEA" w:rsidP="007F4829">
            <w:pPr>
              <w:pStyle w:val="NormlWeb"/>
              <w:spacing w:before="360" w:beforeAutospacing="0" w:after="0" w:afterAutospacing="0"/>
              <w:jc w:val="center"/>
            </w:pPr>
            <w:r w:rsidRPr="007B2284">
              <w:rPr>
                <w:rStyle w:val="Kiemels2"/>
                <w:sz w:val="20"/>
                <w:szCs w:val="20"/>
              </w:rPr>
              <w:lastRenderedPageBreak/>
              <w:t>Bíró Árpád</w:t>
            </w:r>
            <w:r>
              <w:rPr>
                <w:rStyle w:val="Kiemels2"/>
              </w:rPr>
              <w:t>:</w:t>
            </w:r>
            <w:r>
              <w:rPr>
                <w:b/>
                <w:bCs/>
              </w:rPr>
              <w:br/>
            </w:r>
            <w:r w:rsidRPr="00E82EC9">
              <w:rPr>
                <w:rStyle w:val="Kiemels2"/>
                <w:smallCaps/>
                <w:spacing w:val="20"/>
                <w:sz w:val="28"/>
              </w:rPr>
              <w:t>Szent László Csudatettei</w:t>
            </w:r>
            <w:r>
              <w:rPr>
                <w:b/>
                <w:bCs/>
              </w:rPr>
              <w:br/>
            </w:r>
            <w:r w:rsidRPr="007B2284">
              <w:rPr>
                <w:rStyle w:val="Kiemels2"/>
                <w:sz w:val="20"/>
                <w:szCs w:val="20"/>
              </w:rPr>
              <w:t>bábelőadás</w:t>
            </w:r>
          </w:p>
          <w:p w:rsidR="007F4829" w:rsidRPr="007F4829" w:rsidRDefault="007F4829" w:rsidP="007F4829">
            <w:pPr>
              <w:pStyle w:val="NormlWeb"/>
              <w:spacing w:before="360" w:beforeAutospacing="0" w:after="0" w:afterAutospacing="0"/>
              <w:ind w:left="142" w:right="142" w:firstLine="142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848360</wp:posOffset>
                  </wp:positionH>
                  <wp:positionV relativeFrom="paragraph">
                    <wp:posOffset>315595</wp:posOffset>
                  </wp:positionV>
                  <wp:extent cx="2076450" cy="2609850"/>
                  <wp:effectExtent l="19050" t="0" r="0" b="0"/>
                  <wp:wrapNone/>
                  <wp:docPr id="2" name="Kép 1" descr="king_I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ng_II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2609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F4829">
              <w:rPr>
                <w:sz w:val="20"/>
              </w:rPr>
              <w:t xml:space="preserve">Egy Szent Lászlóról szóló darabra régóta vár a lovagkirály városa. Az árnyjátékot és a kesztyűs játékot együtt használjuk a színpadon, ami nem gyakori a bábszínházakban. A kétféle játéktechnikával elkülönítjük egymástól a szent és a hétköznapi teret úgy, hogy közben mindkettőben ugyanaz a hősi küzdelem zajlik, csak az egyikben palacsintasütővel, a másikban a hit erejével. A gyerekek számára Szent László épp olyan hős lehet, mint a filmekből ismert hősök, azzal a különbséggel, hogy hozzá sokkal több közük van. Azokon a tereken, helyeken járnak nap </w:t>
            </w:r>
            <w:proofErr w:type="spellStart"/>
            <w:r w:rsidRPr="007F4829">
              <w:rPr>
                <w:sz w:val="20"/>
              </w:rPr>
              <w:t>nap</w:t>
            </w:r>
            <w:proofErr w:type="spellEnd"/>
            <w:r w:rsidRPr="007F4829">
              <w:rPr>
                <w:sz w:val="20"/>
              </w:rPr>
              <w:t xml:space="preserve"> után, ahol Szent László is lovagolt. A darab legérdekesebb vonása az a párhuzam, ami két hős, Szent László és Vitéz László között felépül az előadás alatt. Egy időutazás részesei vagyunk, ahol a gonosszal eltérő stílusban, de hasonló elszántsággal veszi fel a harcot a két László. Az egyik kezében csatabárd, a másikéban palacsintasütő. Az egyik király, a másik vitéz. Bátorságuk viszont közös: Vitéz László és Szent László régi jó ismerőseink, de mi van akkor, ha egy mesében találkoznak? Az előadás nagy királyunk legendáját a vásári bábjátékok humorával ötvözi, így kicsik és nagyok egyaránt megérthetik Szent László csudatetteit. A Dió Zoltán rendezte előadás díszlet és jelmeztervezője </w:t>
            </w:r>
            <w:proofErr w:type="spellStart"/>
            <w:r w:rsidRPr="007F4829">
              <w:rPr>
                <w:sz w:val="20"/>
              </w:rPr>
              <w:t>Komlódi</w:t>
            </w:r>
            <w:proofErr w:type="spellEnd"/>
            <w:r w:rsidRPr="007F4829">
              <w:rPr>
                <w:sz w:val="20"/>
              </w:rPr>
              <w:t xml:space="preserve"> Judit, a bábok megalkotója Herczeg Zoltán. A Szent László csudatettei című bábjáték zenéjét, </w:t>
            </w:r>
            <w:proofErr w:type="spellStart"/>
            <w:r w:rsidRPr="007F4829">
              <w:rPr>
                <w:sz w:val="20"/>
              </w:rPr>
              <w:t>Lászlóffy</w:t>
            </w:r>
            <w:proofErr w:type="spellEnd"/>
            <w:r w:rsidRPr="007F4829">
              <w:rPr>
                <w:sz w:val="20"/>
              </w:rPr>
              <w:t xml:space="preserve"> Zsolt szerezte.</w:t>
            </w:r>
          </w:p>
          <w:p w:rsidR="00EE4EEA" w:rsidRPr="00E82EC9" w:rsidRDefault="00EE4EEA" w:rsidP="007F4829">
            <w:pPr>
              <w:pStyle w:val="NormlWeb"/>
              <w:spacing w:before="360" w:beforeAutospacing="0" w:after="0" w:afterAutospacing="0"/>
              <w:jc w:val="center"/>
              <w:rPr>
                <w:b/>
                <w:i/>
                <w:sz w:val="22"/>
              </w:rPr>
            </w:pPr>
            <w:r w:rsidRPr="00BD0992">
              <w:rPr>
                <w:b/>
                <w:i/>
                <w:sz w:val="20"/>
              </w:rPr>
              <w:t>Az előadást négy éves kortól ajánljuk.</w:t>
            </w:r>
          </w:p>
          <w:p w:rsidR="00EE4EEA" w:rsidRPr="007F4829" w:rsidRDefault="00EE4EEA" w:rsidP="007F4829">
            <w:pPr>
              <w:pStyle w:val="NormlWeb"/>
              <w:tabs>
                <w:tab w:val="left" w:pos="1985"/>
              </w:tabs>
              <w:spacing w:before="360" w:beforeAutospacing="0" w:after="0" w:afterAutospacing="0"/>
              <w:rPr>
                <w:sz w:val="20"/>
              </w:rPr>
            </w:pPr>
            <w:r w:rsidRPr="007F4829">
              <w:rPr>
                <w:b/>
                <w:sz w:val="20"/>
              </w:rPr>
              <w:t>Az előadás ideje:</w:t>
            </w:r>
            <w:r w:rsidRPr="007F4829">
              <w:rPr>
                <w:b/>
                <w:sz w:val="20"/>
              </w:rPr>
              <w:tab/>
            </w:r>
            <w:r w:rsidRPr="007F4829">
              <w:rPr>
                <w:sz w:val="20"/>
              </w:rPr>
              <w:t>2017. június 16. (péntek) 10 és 13.30 óra</w:t>
            </w:r>
          </w:p>
          <w:p w:rsidR="00EE4EEA" w:rsidRPr="007F4829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  <w:rPr>
                <w:sz w:val="20"/>
              </w:rPr>
            </w:pPr>
            <w:r w:rsidRPr="007F4829">
              <w:rPr>
                <w:rStyle w:val="Kiemels2"/>
                <w:sz w:val="20"/>
              </w:rPr>
              <w:t>Helye</w:t>
            </w:r>
            <w:r w:rsidRPr="007F4829">
              <w:rPr>
                <w:sz w:val="20"/>
              </w:rPr>
              <w:t>:</w:t>
            </w:r>
            <w:r w:rsidRPr="007F4829">
              <w:rPr>
                <w:sz w:val="20"/>
              </w:rPr>
              <w:tab/>
            </w:r>
            <w:proofErr w:type="spellStart"/>
            <w:r w:rsidRPr="007F4829">
              <w:rPr>
                <w:sz w:val="20"/>
              </w:rPr>
              <w:t>Rákóczi-Stúdió</w:t>
            </w:r>
            <w:proofErr w:type="spellEnd"/>
          </w:p>
          <w:p w:rsidR="00EE4EEA" w:rsidRPr="007F4829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  <w:rPr>
                <w:sz w:val="20"/>
              </w:rPr>
            </w:pPr>
            <w:r w:rsidRPr="007F4829">
              <w:rPr>
                <w:rStyle w:val="Kiemels2"/>
                <w:sz w:val="20"/>
              </w:rPr>
              <w:t>Időtartam</w:t>
            </w:r>
            <w:r w:rsidRPr="007F4829">
              <w:rPr>
                <w:sz w:val="20"/>
              </w:rPr>
              <w:t>:</w:t>
            </w:r>
            <w:r w:rsidRPr="007F4829">
              <w:rPr>
                <w:sz w:val="20"/>
              </w:rPr>
              <w:tab/>
              <w:t>55 perc</w:t>
            </w:r>
          </w:p>
          <w:p w:rsidR="00EE4EEA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</w:pPr>
            <w:r w:rsidRPr="007F4829">
              <w:rPr>
                <w:b/>
                <w:sz w:val="20"/>
              </w:rPr>
              <w:t>Belépőjegy:</w:t>
            </w:r>
            <w:r w:rsidRPr="007F4829">
              <w:rPr>
                <w:sz w:val="20"/>
              </w:rPr>
              <w:tab/>
              <w:t>500.- Ft.</w:t>
            </w:r>
          </w:p>
        </w:tc>
        <w:tc>
          <w:tcPr>
            <w:tcW w:w="851" w:type="dxa"/>
            <w:tcBorders>
              <w:top w:val="nil"/>
              <w:left w:val="doubleWave" w:sz="6" w:space="0" w:color="auto"/>
              <w:bottom w:val="nil"/>
              <w:right w:val="dashed" w:sz="4" w:space="0" w:color="878787"/>
            </w:tcBorders>
          </w:tcPr>
          <w:p w:rsidR="00EE4EEA" w:rsidRDefault="00EE4EEA" w:rsidP="004179A2"/>
        </w:tc>
        <w:tc>
          <w:tcPr>
            <w:tcW w:w="851" w:type="dxa"/>
            <w:tcBorders>
              <w:top w:val="nil"/>
              <w:left w:val="dashed" w:sz="4" w:space="0" w:color="878787"/>
              <w:bottom w:val="nil"/>
              <w:right w:val="doubleWave" w:sz="6" w:space="0" w:color="auto"/>
            </w:tcBorders>
          </w:tcPr>
          <w:p w:rsidR="00EE4EEA" w:rsidRDefault="00EE4EEA" w:rsidP="004179A2">
            <w:pPr>
              <w:spacing w:line="200" w:lineRule="exact"/>
              <w:ind w:left="403"/>
            </w:pPr>
          </w:p>
        </w:tc>
        <w:tc>
          <w:tcPr>
            <w:tcW w:w="6237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EE4EEA" w:rsidRPr="007F4829" w:rsidRDefault="00EE4EEA" w:rsidP="004179A2">
            <w:pPr>
              <w:spacing w:before="120"/>
              <w:jc w:val="center"/>
              <w:rPr>
                <w:rStyle w:val="Kiemels"/>
                <w:sz w:val="20"/>
                <w:szCs w:val="20"/>
              </w:rPr>
            </w:pPr>
            <w:r w:rsidRPr="007F4829">
              <w:rPr>
                <w:rStyle w:val="Kiemels"/>
                <w:sz w:val="20"/>
                <w:szCs w:val="20"/>
              </w:rPr>
              <w:t xml:space="preserve">A nagyváradi </w:t>
            </w:r>
            <w:r w:rsidRPr="007F4829">
              <w:rPr>
                <w:rStyle w:val="Kiemels"/>
                <w:sz w:val="20"/>
                <w:szCs w:val="20"/>
              </w:rPr>
              <w:br/>
              <w:t xml:space="preserve">Szigligeti Színház </w:t>
            </w:r>
            <w:r w:rsidRPr="007F4829">
              <w:rPr>
                <w:rStyle w:val="Kiemels"/>
                <w:sz w:val="20"/>
                <w:szCs w:val="20"/>
              </w:rPr>
              <w:br/>
            </w:r>
            <w:proofErr w:type="spellStart"/>
            <w:r w:rsidRPr="007F4829">
              <w:rPr>
                <w:rStyle w:val="Kiemels"/>
                <w:sz w:val="20"/>
                <w:szCs w:val="20"/>
              </w:rPr>
              <w:t>Lilliput</w:t>
            </w:r>
            <w:proofErr w:type="spellEnd"/>
            <w:r w:rsidRPr="007F4829">
              <w:rPr>
                <w:rStyle w:val="Kiemels"/>
                <w:sz w:val="20"/>
                <w:szCs w:val="20"/>
              </w:rPr>
              <w:t xml:space="preserve"> Társulatának </w:t>
            </w:r>
            <w:r w:rsidRPr="007F4829">
              <w:rPr>
                <w:rStyle w:val="Kiemels"/>
                <w:sz w:val="20"/>
                <w:szCs w:val="20"/>
              </w:rPr>
              <w:br/>
              <w:t>vendégelőadása</w:t>
            </w:r>
          </w:p>
          <w:p w:rsidR="00EE4EEA" w:rsidRPr="00414647" w:rsidRDefault="00EE4EEA" w:rsidP="004179A2">
            <w:pPr>
              <w:spacing w:before="360" w:after="360" w:line="560" w:lineRule="exact"/>
              <w:jc w:val="center"/>
              <w:rPr>
                <w:rFonts w:ascii="Comic Sans MS" w:hAnsi="Comic Sans MS"/>
                <w:b/>
                <w:sz w:val="52"/>
              </w:rPr>
            </w:pPr>
            <w:r w:rsidRPr="00603026">
              <w:rPr>
                <w:rFonts w:ascii="Comic Sans MS" w:hAnsi="Comic Sans MS"/>
                <w:b/>
                <w:sz w:val="52"/>
              </w:rPr>
              <w:t>Szent László</w:t>
            </w:r>
            <w:r w:rsidRPr="00603026">
              <w:rPr>
                <w:rFonts w:ascii="Comic Sans MS" w:hAnsi="Comic Sans MS"/>
                <w:b/>
                <w:sz w:val="52"/>
              </w:rPr>
              <w:br/>
              <w:t>csudatettei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Rendezte: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  <w:t>Dió Zoltán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Írta: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  <w:t>Bíró Árpád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Díszlet és bábtervezés: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</w:r>
            <w:proofErr w:type="spellStart"/>
            <w:r w:rsidRPr="007F4829">
              <w:rPr>
                <w:rFonts w:cstheme="minorHAnsi"/>
                <w:b/>
                <w:sz w:val="20"/>
                <w:szCs w:val="20"/>
              </w:rPr>
              <w:t>Komlódi</w:t>
            </w:r>
            <w:proofErr w:type="spellEnd"/>
            <w:r w:rsidRPr="007F4829">
              <w:rPr>
                <w:rFonts w:cstheme="minorHAnsi"/>
                <w:b/>
                <w:sz w:val="20"/>
                <w:szCs w:val="20"/>
              </w:rPr>
              <w:t xml:space="preserve"> Judit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Bábkészítők: </w:t>
            </w:r>
            <w:r>
              <w:rPr>
                <w:rFonts w:cstheme="minorHAnsi"/>
                <w:b/>
                <w:sz w:val="20"/>
                <w:szCs w:val="20"/>
              </w:rPr>
              <w:tab/>
              <w:t>Komlói Judit,</w:t>
            </w:r>
            <w:r>
              <w:rPr>
                <w:rFonts w:cstheme="minorHAnsi"/>
                <w:b/>
                <w:sz w:val="20"/>
                <w:szCs w:val="20"/>
              </w:rPr>
              <w:br/>
              <w:t>Dió Zoltán,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7F4829">
              <w:rPr>
                <w:rFonts w:cstheme="minorHAnsi"/>
                <w:b/>
                <w:sz w:val="20"/>
                <w:szCs w:val="20"/>
              </w:rPr>
              <w:t>Herceg Zoltán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Zene: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</w:r>
            <w:proofErr w:type="spellStart"/>
            <w:r w:rsidRPr="007F4829">
              <w:rPr>
                <w:rFonts w:cstheme="minorHAnsi"/>
                <w:b/>
                <w:sz w:val="20"/>
                <w:szCs w:val="20"/>
              </w:rPr>
              <w:t>Lászlóffy</w:t>
            </w:r>
            <w:proofErr w:type="spellEnd"/>
            <w:r w:rsidRPr="007F4829">
              <w:rPr>
                <w:rFonts w:cstheme="minorHAnsi"/>
                <w:b/>
                <w:sz w:val="20"/>
                <w:szCs w:val="20"/>
              </w:rPr>
              <w:t xml:space="preserve"> Zsolt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Ének: </w:t>
            </w:r>
            <w:r>
              <w:rPr>
                <w:rFonts w:cstheme="minorHAnsi"/>
                <w:b/>
                <w:sz w:val="20"/>
                <w:szCs w:val="20"/>
              </w:rPr>
              <w:tab/>
              <w:t>Oláh Anikó Katalin,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7F4829">
              <w:rPr>
                <w:rFonts w:cstheme="minorHAnsi"/>
                <w:b/>
                <w:sz w:val="20"/>
                <w:szCs w:val="20"/>
              </w:rPr>
              <w:t>Stefán Bodor Mária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>Zené</w:t>
            </w:r>
            <w:r>
              <w:rPr>
                <w:rFonts w:cstheme="minorHAnsi"/>
                <w:b/>
                <w:sz w:val="20"/>
                <w:szCs w:val="20"/>
              </w:rPr>
              <w:t xml:space="preserve">szek: </w:t>
            </w:r>
            <w:r>
              <w:rPr>
                <w:rFonts w:cstheme="minorHAnsi"/>
                <w:b/>
                <w:sz w:val="20"/>
                <w:szCs w:val="20"/>
              </w:rPr>
              <w:tab/>
              <w:t>Varga Imre zenei vezető,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7F4829">
              <w:rPr>
                <w:rFonts w:cstheme="minorHAnsi"/>
                <w:b/>
                <w:sz w:val="20"/>
                <w:szCs w:val="20"/>
              </w:rPr>
              <w:t>Csépei Róbert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>Szereposztás: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552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Vitéz László: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</w:r>
            <w:proofErr w:type="spellStart"/>
            <w:r w:rsidRPr="007F4829">
              <w:rPr>
                <w:rFonts w:cstheme="minorHAnsi"/>
                <w:b/>
                <w:sz w:val="20"/>
                <w:szCs w:val="20"/>
              </w:rPr>
              <w:t>Hanyecz</w:t>
            </w:r>
            <w:proofErr w:type="spellEnd"/>
            <w:r w:rsidRPr="007F4829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F4829">
              <w:rPr>
                <w:rFonts w:cstheme="minorHAnsi"/>
                <w:b/>
                <w:sz w:val="20"/>
                <w:szCs w:val="20"/>
              </w:rPr>
              <w:t>Debelka</w:t>
            </w:r>
            <w:proofErr w:type="spellEnd"/>
            <w:r w:rsidRPr="007F4829">
              <w:rPr>
                <w:rFonts w:cstheme="minorHAnsi"/>
                <w:b/>
                <w:sz w:val="20"/>
                <w:szCs w:val="20"/>
              </w:rPr>
              <w:t xml:space="preserve"> Róbert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552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Dödölle: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  <w:t>Daróczi István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552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Nudli, Halál: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  <w:t>Lélek Sándor Tibor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552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Asszony: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  <w:t>Stefán Bodor Mária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552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Lány: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</w:r>
            <w:proofErr w:type="spellStart"/>
            <w:r w:rsidRPr="007F4829">
              <w:rPr>
                <w:rFonts w:cstheme="minorHAnsi"/>
                <w:b/>
                <w:sz w:val="20"/>
                <w:szCs w:val="20"/>
              </w:rPr>
              <w:t>Birtalan</w:t>
            </w:r>
            <w:proofErr w:type="spellEnd"/>
            <w:r w:rsidRPr="007F4829">
              <w:rPr>
                <w:rFonts w:cstheme="minorHAnsi"/>
                <w:b/>
                <w:sz w:val="20"/>
                <w:szCs w:val="20"/>
              </w:rPr>
              <w:t xml:space="preserve"> Katalin</w:t>
            </w:r>
          </w:p>
          <w:p w:rsidR="007F4829" w:rsidRPr="007F4829" w:rsidRDefault="007F4829" w:rsidP="007F4829">
            <w:pPr>
              <w:tabs>
                <w:tab w:val="left" w:leader="dot" w:pos="3686"/>
              </w:tabs>
              <w:ind w:left="3686" w:hanging="2552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 xml:space="preserve">Ló: </w:t>
            </w:r>
            <w:r w:rsidRPr="007F4829">
              <w:rPr>
                <w:rFonts w:cstheme="minorHAnsi"/>
                <w:b/>
                <w:sz w:val="20"/>
                <w:szCs w:val="20"/>
              </w:rPr>
              <w:tab/>
              <w:t>Balogh Judit</w:t>
            </w:r>
          </w:p>
          <w:p w:rsidR="00EE4EEA" w:rsidRPr="00414647" w:rsidRDefault="007F4829" w:rsidP="007F4829">
            <w:pPr>
              <w:tabs>
                <w:tab w:val="left" w:leader="dot" w:pos="3686"/>
              </w:tabs>
              <w:ind w:left="3686" w:hanging="2552"/>
              <w:rPr>
                <w:rFonts w:cstheme="minorHAnsi"/>
                <w:b/>
                <w:sz w:val="20"/>
                <w:szCs w:val="20"/>
              </w:rPr>
            </w:pPr>
            <w:r w:rsidRPr="007F4829">
              <w:rPr>
                <w:rFonts w:cstheme="minorHAnsi"/>
                <w:b/>
                <w:sz w:val="20"/>
                <w:szCs w:val="20"/>
              </w:rPr>
              <w:t>Á</w:t>
            </w:r>
            <w:r>
              <w:rPr>
                <w:rFonts w:cstheme="minorHAnsi"/>
                <w:b/>
                <w:sz w:val="20"/>
                <w:szCs w:val="20"/>
              </w:rPr>
              <w:t xml:space="preserve">rnyjátékosok: </w:t>
            </w:r>
            <w:r>
              <w:rPr>
                <w:rFonts w:cstheme="minorHAnsi"/>
                <w:b/>
                <w:sz w:val="20"/>
                <w:szCs w:val="20"/>
              </w:rPr>
              <w:tab/>
              <w:t>Meleg Hortenzia,</w:t>
            </w:r>
            <w:r>
              <w:rPr>
                <w:rFonts w:cstheme="minorHAnsi"/>
                <w:b/>
                <w:sz w:val="20"/>
                <w:szCs w:val="20"/>
              </w:rPr>
              <w:br/>
              <w:t>Németi Emese,</w:t>
            </w:r>
            <w:r>
              <w:rPr>
                <w:rFonts w:cstheme="minorHAnsi"/>
                <w:b/>
                <w:sz w:val="20"/>
                <w:szCs w:val="20"/>
              </w:rPr>
              <w:br/>
              <w:t>Szentpéteri Lenke,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7F4829">
              <w:rPr>
                <w:rFonts w:cstheme="minorHAnsi"/>
                <w:b/>
                <w:sz w:val="20"/>
                <w:szCs w:val="20"/>
              </w:rPr>
              <w:t>Oláh Anikó Katalin</w:t>
            </w:r>
          </w:p>
        </w:tc>
      </w:tr>
    </w:tbl>
    <w:p w:rsidR="00EE4EEA" w:rsidRPr="00603026" w:rsidRDefault="00EE4EEA">
      <w:pPr>
        <w:rPr>
          <w:sz w:val="20"/>
        </w:rPr>
      </w:pPr>
    </w:p>
    <w:sectPr w:rsidR="00EE4EEA" w:rsidRPr="00603026" w:rsidSect="00603026">
      <w:pgSz w:w="16838" w:h="11906" w:orient="landscape" w:code="9"/>
      <w:pgMar w:top="1134" w:right="1134" w:bottom="113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E2A91"/>
    <w:multiLevelType w:val="hybridMultilevel"/>
    <w:tmpl w:val="A426CA8A"/>
    <w:lvl w:ilvl="0" w:tplc="FE76800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4A5109D"/>
    <w:multiLevelType w:val="hybridMultilevel"/>
    <w:tmpl w:val="23DC34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344FA"/>
    <w:multiLevelType w:val="hybridMultilevel"/>
    <w:tmpl w:val="B70E3B32"/>
    <w:lvl w:ilvl="0" w:tplc="040E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603026"/>
    <w:rsid w:val="000313CC"/>
    <w:rsid w:val="001C4D79"/>
    <w:rsid w:val="00217153"/>
    <w:rsid w:val="00254E09"/>
    <w:rsid w:val="002703FA"/>
    <w:rsid w:val="002E2D61"/>
    <w:rsid w:val="00410FC7"/>
    <w:rsid w:val="00414647"/>
    <w:rsid w:val="0042051B"/>
    <w:rsid w:val="00447EB4"/>
    <w:rsid w:val="00454810"/>
    <w:rsid w:val="00511668"/>
    <w:rsid w:val="00603026"/>
    <w:rsid w:val="00657DAF"/>
    <w:rsid w:val="0069764C"/>
    <w:rsid w:val="006C3851"/>
    <w:rsid w:val="00740AA9"/>
    <w:rsid w:val="007B2284"/>
    <w:rsid w:val="007F4829"/>
    <w:rsid w:val="009C73A8"/>
    <w:rsid w:val="00BB573F"/>
    <w:rsid w:val="00BD0992"/>
    <w:rsid w:val="00C859B3"/>
    <w:rsid w:val="00DC2518"/>
    <w:rsid w:val="00E56DCE"/>
    <w:rsid w:val="00E82EC9"/>
    <w:rsid w:val="00EE4EEA"/>
    <w:rsid w:val="00F1657E"/>
    <w:rsid w:val="00F76195"/>
    <w:rsid w:val="00F770D0"/>
    <w:rsid w:val="00F84DE4"/>
    <w:rsid w:val="00FB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573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03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0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302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3026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217153"/>
    <w:rPr>
      <w:i/>
      <w:iCs/>
    </w:rPr>
  </w:style>
  <w:style w:type="paragraph" w:styleId="NormlWeb">
    <w:name w:val="Normal (Web)"/>
    <w:basedOn w:val="Norml"/>
    <w:uiPriority w:val="99"/>
    <w:unhideWhenUsed/>
    <w:rsid w:val="00FB1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B1F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0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0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302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3026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217153"/>
    <w:rPr>
      <w:i/>
      <w:iCs/>
    </w:rPr>
  </w:style>
  <w:style w:type="paragraph" w:styleId="NormlWeb">
    <w:name w:val="Normal (Web)"/>
    <w:basedOn w:val="Norml"/>
    <w:uiPriority w:val="99"/>
    <w:unhideWhenUsed/>
    <w:rsid w:val="00FB1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B1F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0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Kecskédi Petra</dc:creator>
  <cp:lastModifiedBy>kecspetr</cp:lastModifiedBy>
  <cp:revision>4</cp:revision>
  <cp:lastPrinted>2017-01-12T09:31:00Z</cp:lastPrinted>
  <dcterms:created xsi:type="dcterms:W3CDTF">2017-01-24T08:27:00Z</dcterms:created>
  <dcterms:modified xsi:type="dcterms:W3CDTF">2017-01-24T09:56:00Z</dcterms:modified>
</cp:coreProperties>
</file>